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02.02.2021, оставленным без изменения постановлением Тринадцатого арбитражного апелляционного суда от 02.06.2021 и постановлением Арбитражного суда Северо-Западного округа от 19.10.2021,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обстоятельства, установленные вступившими в законную силу судебными актами по делам № А56-93100/2019, № А56-109970/2019, суды первой и апелляционной инстанций пришли к выводу о том, что спорные денежные средства перечислены истцом в пользу ответчика в качестве оплаты за оказанные последним истцу услуги по вывозу грунта. При таких обстоятельствах, руководствуясь статьей 1102 Гражданского кодекса Российской Федерации, суды не усмотрели оснований для удовлетворения исковых требований, с чем впоследствии согласился суд округа.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«БКК»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 Суд: Верховный Суд РФ (подробнее) Истцы: ООО "БКК" (подробнее) Ответчики: ООО "ГРУЗМАШАВТО-СПБ"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