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Черепнина Вероника Африкановна (далее – ИП Черепнина В.А.) обратился в Арбитражный суд Нижегородской с иском к индивидуальному предпринимателю Лоскутову Максиму Евгеньевичу (далее – ИП Лоскутов М.Е.) о взыскании 31 270 000 рублей задолженности по договору займа от 17.04.2007. К участию в деле в качестве третьих лиц, не заявляющих самостоятельных требований относительно предмета спора, привлечены Черепнин Александр Юрьевич, межрегиональное управление Федеральной службы по финансовому мониторингу по Приволжскому Федеральному округу. Решением Арбитражного суда Нижегородской области от 11.05.2021, оставленным без изменения постановлением Первого арбитражного апелляционного суда от 16.08.2021 и постановлением Арбитражного суда Волго- Вятского округа от 23.11.2021,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2 В обоснование доводов жалобы заявитель указывает, что договор займа от 17.04.2007 и договор уступки права (требования) от 07.02.2020 являются мнимыми; денежные средства в заявленной сумме были переданы истцом в рамках договора о совместной деятельности, что установлено вступившими в законную силу судебными актами по делу № А43-37026/2019. По мнению заявителя, истцом пропущен срок исковой давности; спорный договор не был зарегистрирован в установленном законом порядке.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индивидуальный предприниматель Черепнин Александр Юрьевичем (далее – ИП Черепнин А.Ю.; займодавец) и ИП Лоскутов М.Е. (заемщик) заключили договор займа под залог недвижимости от 17.04.2007, по условиям которого займодавец обязался передать заемщику 31 270 000 рублей под залог объекта незавершенного строительства – пристроенного продовольственного магазина № 40-а к жилому дому 40 (пункт 1.1). В пункте 1.2 договора стороны предусмотрели предоставление займа наличными денежными средствами в суммах и в сроки, указанные в договоре. Согласно пункту 2.1 заемщик обязался предоставить указанные в пункте 1.1 договора средства частями, что фиксируется расписками в получении денежных средств, которые заемщик выдает займодавцу. После передачи заемщику займодавцем полной суммы по договору обременение на указанный объект недвижимости по данному договору подлежит регистрации в органах государственной регистрации (пункт 2.2). В пункте 2.3 договора указано, что после возврата суммы займа обременение на указанный объект недвижимости снимается. Займодавец передал заемщику денежные средства частями в период с 2007 по 2010 годы. ИП Черепнин А.Ю. (цедент) и ИП Черепнина В.А. (цессионарий) заключили договор уступки права требования от 07.02.2020, по условиям которого цедент уступил цессионарию право требования к ИП Лоскутову М.Е. исполнения обязательства по уплате 31 270 000 рублей, возникшего на основании договора займа под залог недвижимости от 17.04.2007 и расписок. В соответствии с пунктами 3.1, 3.2, 3.3 договора уступки права требования от 07.02.2020 стоимость уступленного права составляет 4 000 000 рублей, оплата 3 которых производится путем передачи денежных средств в момент подписания договора, факт передачи оформляется распиской. В письме от 14.04.2020 ответчик уведомлен о состоявшейся уступке права требований; данным письмом заемщику также предложено перечислить денежные средства новому кредитору. Ссылаясь на неисполнение обязательств по возврату займа, ИП Черепнина В.А.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131, 164, 170, 307-310,314, 382, 384, 388, 807, 810 Гражданского кодекса Российской Федерации, суды удовлетворили заявленные требования, установив реальность заемных правоотношений и отсутствие доказательств возврата ответчиком денежных средств. Судами учтено, что в рассматриваемом случае сторонами определены все существенные условия договора займа с соблюдением его формы; о предоставлении денежных средств свидетельствуют представленные расписки, в которых имеется указание на спорный договор. Ссылка заявителя на вступившее в законную силу решение суда от 12.12.2019 по делу № А43-37026/2019, как на установившее передачу ИП Черепниным А.Ю. спорных денежных средств в рамках договора о совместной деятельности, правомерно признана несостоятельной, так как в названном деле указанные обстоятельства судом не устанавливались, в удовлетворении иска было отказано в связи с пропуском срока исковой давности на основании пункта 2 статьи 199 Гражданского кодекса Российской Федерации. В настоящем деле предметом иска являются денежные средства, переданные по договору займа, срок возврата которых договором не установлен. В данном случае истец в уведомлении от 14.04.2020 потребовал от заемщика возвратить спорную сумму долга. Направление данного письма подтверждается описью вложения от указанной даты. При таких обстоятельствах срок исковой давности, с учетом пункта 2 статьи 314 Гражданского кодекса Российской Федерации, начал течь по истечении 7 дней с момента, когда корреспонденция была доставлена или считается доставленной адресату в соответствии со статьей 165.1 Гражданского кодекса Российской Федерации. К моменту обращения ИП Черепниной В.А. с настоящим иском в суд 21.09.2020 срок исковой давности по рассматриваемому требованию не истек. Суды не установили оснований для признания договора уступки права требований ничтожным, ответчиком не представлено доказательств что, он носил мнимый характер. Иные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4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Лоскутова Максима Евгеньевича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