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«Отрадное» обратилось в Арбитражный суд города Москвы с иском к обществу с ограниченной ответственностью «СТУ» (далее – общество) о взыскании 51 154 253 руб. 05 коп. убытков. Арбитражный суд города Москвы определением от 25.08.2021, оставленным без изменения постановлением Девятого арбитражного апелляционного суда от 22.09.2021 и постановлением Арбитражного суда Московского округа от 02.11.2021, назначил по делу судебную экспертизу и приостановил производство по делу до окончания ее проведения.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первой инстанции, учитывая предмет и обстоятельства спора, а также позиции сторон, руководствуясь статьями 82, 144, 145 Арбитражного процессуального кодекса Российской Федерации, пришел к выводу о наличии оснований для назначения судебной экспертизы, в связи с чем приостановил производство по делу. Суды апелляционной инстанции и округа указали на соответствие действий суда первой инстанции нормам процессуального законодательства. Доводы кассационной жалобы не подтверждают существенных нарушений судами норм права, повлиявших на исход дела,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«СТУ»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