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24.12.2020, оставленным без изменения постановлением Девятого арбитражного апелляционного суда от 29.06.2021 и постановлением Арбитражного суда Московского округа от 12.10.2021, исковые требования удовлетворены. В кассационной жалобе, поданной в Верховный Суд Российской Федерации, компания, ссылаясь на незаконность указанных судебных актов, просит их отменить и направить дело на новое рассмотрение в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309, 310, 431, 614, 616, 622 Гражданского кодекса Российской Федерации, исходя из обоснованности и документальной подтвержденности заявленных требований, суды первой и апелляционной инстанции пришли к выводу об их удовлетворении,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Имбрико Флор»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