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15.07.2021, оставленным без изменения постановлением Девятого арбитражного апелляционного суда от 07.09.2021 и постановлением Арбитражного суда Московского округа от 23.11.2021, первоначальные исковые требования удовлетворены; встречные исковые требования удовлетворены в части расторжения договора от 05.02.2020 № 0025-10/10, в удовлетворении остальной части требований отказано. В кассационной жалобе, поданной в Верховный Суд Российской Федерации, учреждение, ссылаясь на незаконность указанных судебных актов, просит их отменить либо изменить и принять по делу новый судебный акт.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факт надлежащего оказания обществом услуг в спорный период и их неоплаты учреждением. При таких обстоятельствах, учитывая волеизъявление обеих сторон, направленное на расторжение договора, указав на отсутствие существенного нарушения договора со стороны общества, руководствуясь статьями 309, 310, 330, 450, 452, 453, 779, 781 Гражданского кодекса Российской Федерации, суды пришли к выводу о наличии оснований для удовлетворения первоначального иска в полном объеме и встречного иска в части расторжения договора.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бюджетного учреждения культуры «Политехнический музей»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