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определением Арбитражного суда Новосибирской области от 21.06.2021 признано погашенным включенное в реестр должника требование в размере 5 300 000 рублей, производство по делу о банкротстве прекращено. Постановлением Седьмого арбитражного апелляционного суда от 11.08.2021, оставленным без изменения постановлением Арбитражного суда Западно-Сибирского округа от 01.12.2021, определение отменено в части прекращения производства по делу и в этой части дело направлено на рассмотрение суда первой инстанции. В кассационной жалобе и дополнении к ней Козленко К.А. просит об отмене судебных актов апелляционного и окружного судов, ссылаясь на несоответствие закону примененных вследствие погашения им реестрового требования последствий и нарушение его прав.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Судьба дела о банкротстве окончательно не разрешена апелляционным судов в связи с необходимостью исследования возможности погашения оставшихся долгов, влияющей на возникновение нового дела о банкротстве. Погашая реестровое требование должника, Козленко К.А. принял на себя возможные в связи с этим действием риски, а его доводы о злоупотреблении должником правом подлежат заявлению в процессе рассмотрения заявления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Козленко Константину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