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Ставропольского края от 01.04.2021, оставленным без изменения постановлением Шестнадцатого арбитражного апелляционного суда от 18.08.2021 и постановлением Арбитражного суда Северо-Кавказского округа от 19.11.2021, первоначальный иск удовлетворен частично, в удовлетворении встречного иска отказано. В кассационной жалобе общество «Ставролит» просит об отмене судебных актов, ссылаясь на недействительность договора, отказ от договора и отсутствие у подписанного акта о принятии услуг доказательной силы,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основанием для оплаты оказанных услуг является не договор от 29.08.2017, а соглашение о его расторжении и акт от 13.11.2019, которыми определены оказанные услуги и их стоимость. Указанные документы в силу реального характера обязательства являются основаниями возникновения прав и обязанностей сторон, в том числе обязанности заказчика по оплате услуг (статьи 779, 781 Гражданского кодекса Российской Федерации) независимо от юридической силы договора от29.08.2017. Действия судов, которые заявитель считает процессуальными нарушениями, таковыми не являются и не попадают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«Ставролит»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