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15.06.2021, оставленным без изменения постановлением Девятого арбитражного апелляционного суда от 08.09.2021, заявление Горюнова В. удовлетворено, в отношении должника введена процедура реструктуризации долгов гражданина, назначен финансовый управляющий, требование Горюнова В. в размере 74 949 336 рублей включено в третью очередь реестра. Арбитражный суд Московского округа постановлением от 24.11.2021 определение от 15.06.2021 и постановление апелляционного суда от 08.09.2021 оставил без изменения. В кассационных жалобах компании просят об отмене судебных актов, ссылаясь на игнорирование судами обоснованных сомнений в заинтересованности финансового управляющего и организации, к которой он состоит, отсутствие надлежащих доказательств обоснованности требования Горюнова В. и неправильное определение размера его требования.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Обоснованность требования для включения в реестр проверена применительно к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Суды установили наличие согласия компании BaltMet Commercial Limited как залогодержателя на отчуждение заложенного имущества, что означает принятие ею рисков наступления последствий в связи с возможными требованиями нового собственника. Все доводы заявителей касаются доказывания и оценки доказательств, не создающих оснований для кассационного пересмотра судебных актов.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UAB Baltijos stiklas и компании BaltMet Commercial Limited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