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17.03.2021, оставленным без изменения постановлением Первого арбитражного апелляционного суда от 01.07.2021, заявление банка признано обоснованным, в отношении должника введена процедура реструктуризации долгов, утвержден финансовый управляющий, требование банка в размере 2 335 619 рублей 61 копейки включено в третью очередь реестра требований кредиторов как обеспеченное залогом имущества должника, требование в размере 14 490 рублей 37 копеек включено в третью очередь как учитывающееся отдельно и подлежащее удовлетворению после погашения основной суммы задолженности и причитающихся процентов, однако имеющее залоговое преимущество перед удовлетворением необеспеченных требований других кредиторов по взысканию финансовых санкций. Арбитражный суд Волго-Вятского округа постановлением от 11.10.2021 определение от 17.03.2021 и постановление апелляционного суда от 01.07.2021 оставил без изменения. 2 В кассационной жалобе Прокофьев А.В. просит об отмене судебных актов, ссылаясь на отсутствие и неподтвержденность задолженности, ненадлежащие полномочия подавшего заявление лица,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соблюдение законных условий для подачи банком заявления, суды приняли его к производству в соответствии со статьями 32, 213.3, 213.4, 213.5, 213.6 Федерального закона от 26.10.2002 № 127-ФЗ «О несостоятельности (банкротстве)». Изложенные в жалобе возражения относительно наличия кредитных правоотношений с банком и полномочий подписавшего заявление лица рассмотрены и мотивированно отклонены. Процессуальные нарушения в том числе влияющие на судьбу судебных актов не подтверждены.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Прокофьеву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