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21.04.2021, оставленным без изменения постановлением Девятого арбитражного апелляционного суда от 05.07.2021 и постановлением Арбитражного суда Московского округа от 19.10.2021, процедура реализации имущества должника завершена, должник не освобожден от дальнейшего исполнения требований кредиторов. В кассационной жалобе ФИО1 просит об отмене судебных актов, ссылаясь на неисследование ее поведения в процедурах банкротства.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неспособствование должника удовлетворению требований кредитора, не допускающее в силу пункта 4 статьи 213.28 Федерального закона от 26.10.2002 № 127-ФЗ «О несостоятельности (банкротстве)» освобождения от исполнения обязательств. Иная оценка должником своих действий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"ГОРОД-21ВЕК" (подробнее) ООО ПРОМЫШЛЕННО-ТРАНСПОРТНАЯ КОМПАНИЯ "РАЗВИТИЕ" (подробнее) ПАО Банк ВТБ (подробнее) Иные лица: НП "Сибирская гильдия антикризисных управляющих" (подробнее) ОАСР и ИР УФМС России по г. Москве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