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обоснованными требований о передаче однокомнатной и двухкомнатной квартир №№ 40 и 135, общей площадью с учетом площади лоджий 32,46 кв. м и 46,98 кв. м в жилом доме (строении) № 13, расположенном по строительному адресу: микрорайон № 51 жилого района № 11 Краснопольской площадки № 1 в Курчатовском районе города Челябинска (кадастровый номер участка 74:19:0901002:131 площадью 6 046 кв.м); включении названных требований в реестр требований участников строительства. Определением Арбитражного суда Челябинской области от 06.04.2021, оставленным без изменения постановлениями Восемнадцатого арбитражного апелляционного суда от 05.07.2021 и Арбитражного суда Уральского округа от 14.10.2021,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признании обоснованными его требований в размере 3 370 000 рублей с отнесением в четвёртую очередь реестра требований кредиторов должника.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131, 201.8, 201.10, 201.11 Федерального закона от 26.10.2002 № 127-ФЗ «О несостоятельности (банкротстве)», исходили из недоказанности факта оплаты по договорам участия в долевом строительстве и уступки, неподтверждённости перехода к заявителю права требования спорных квартир,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«Пром-Строй»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