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«ИнфраХит Монтаж» (далее – общество) обратилось в суд с заявлением о включении в реестр требований кредиторов должника (далее – реестр) его требования в размере 50 454 757 рублей 41 копейка. Определением Арбитражного суда города Санкт – Петербурга и Ленинградской области от 30.04.2021, оставленным без изменения постановлениями Тринадцатого арбитражного апелляционного суда от 26.07.2021 и Арбитражного суда Северо-Западного округа от 28.10.2021, заявление удовлетворено в части включения в реестр требования в размере 38 963 173 рубля 85 копеек;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Исходя из доводов кассационной жалобы, заявитель не согласен с обжалуемыми судебными актами судов в части включения требования общества в реестр.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382, 384 Гражданского кодекса Российской Федерации, статьями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установив, что займы реально выданы должнику в период стабильного финансового состояния и вне имущественного кризиса, а часть требований по возврату задолженности уступлены самому заявителю и легли в основу инициированного им возбуждения настоящего дела о банкротстве должника, удовлетворили заявление в той части требований, которая предъявлена в пределах срока исковой давности. Выводы судов в обжалуемой части соответствуют нормам права, оснований их переоценки по доводам жалобы не имеется. Существенных нарушений норм материального права и (или) норм процессуального права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«ПСО «Леноблстрой»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