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17.03.2021, оставленным без изменения постановлениями Двадцатого арбитражного апелляционного суда от 10.06.2021 и Арбитражного суда Центрального округа от 21.10.2021,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итогам внеплановой документарной проверки, проведенной в связи с обращением учреждения (заказчик), управлением принято решение, которым в отношении заказчика предложено выдать предписание об аннулировании электронного аукциона, предметом которого является оказание услуг по осуществлению авторского надзора за выполнением работ на объекте: «Рекультивация полигона ТБО г. Калуга с отводом ручья с территории полигона ТБО». Не согласившись с решением антимонопольного органа, общество, признанное согласно протоколу подведения итогов электронного аукциона победителем, обратилось в арбитражный суд с заявлением о признании его недействительным. Исследовав и оценив представленные в материалы дела доказательства, руководствуясь положениями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суды пришли к выводу о законности оспариваемого ненормативного правового акта управления, а также об отсутствии нарушения прав и законных интересов заявителя. Судебные инстанции исходили из того, что внеплановая документарная проверка проведена антимонопольным органом в пределах предоставленных полномочий, поскольку Закон о контрактной системе не содержит норм, ограничивающих источники и сроки поступления информации о нарушении законодательства о контрактной системе и форму ее предоставления, а также не предоставляет контролирующему органу полномочий по оставлению такой информации без рассмотрения. Установив, что в документации спорного аукциона отсутствовал расчет стоимости работ (определяющий объем оказанных услуг применительно к спорной закупке) по осуществлению авторского надзора, суды пришли к выводу о том, что отсутствие такого расчета в аукционной документации правомерно признано управлением в качестве нарушения части 2 статьи 8, 3 пункта 1 части 1 статьи 33, подпунктов 1, 2 части 1 статьи 64 Закона о контрактной системе. Кроме того, суды отметили, что исполнив предписание антимонопольного органа, заказчик провел процедуру закупки, в которой общество не было признано победителем, при этом заключенный с победителем аукциона контракт находится в стадии исполнения и не был оспорен. Доводы заявителя, изложенные в кассационной жалобе, являлись предметом рассмотрения судов трех инстанций и получили надлежащую правовую оценку. По существу доводы общества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ТД «Д-Марк»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