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26.04.2021, оставленным без изменения постановлением Четвертого арбитражного апелляционного суда от 13.09.2021 и постановлением Арбитражного суда Восточно-Сибирского округа от 22.11.2021, иск удовлетворен. В кассационной жалобе общество «Негоциант» просит о пересмотре судебных актов, ссылаясь на игнорирование договорных оснований для освобождения от ответственности за нарушение срока использования цистерн, неподтвержденность возврата цистерн в непригодном состоянии и недоказанность несения убытков.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силу правоотношений по поставке, оформленных генеральным соглашением от 19.06.2015 и Правилами проведения организованных торгов ЗАО «Санкт-Петербургская международная товарно- сырьевая биржа», основания ответственности не отличаются от установленных пунктом 3 статьи 401 Гражданского кодекса Российской Федерации – общество «Негоциант» отвечает за действия грузополучателей в отношении сроков использования цистерн, поэтому не признали таковые освобождающими от ответственности. Требуемая переоценка доказательств коммерческого состояния возвращенных цистерн и возникновения обязанности уплатить убытки третьему лицу не создает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«Негоциант»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