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установленные законом сроки, недостатки, послужившие основанием для ее возвращения устранены, и заявителем не пропущен установленный законом предельный срок для обращения с ходатайством о восстановлении срока подачи кассационной жалобы.На основании изложенного, руководствуясь статьями 117 , 184 , 185 , 291.2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срока подачи кассационной жалобы на решение Арбитражного суда Мурманской области от 18.02.2021 по делу № А42-11493/2018, постановление Тринадцатого арбитражного апелляционного суда от 26.05.2021 и постановление Арбитражного суда Северо-Западного округа от 01.09.2021 по тому же делу удовлетворить, срок восстановить. Судья Верховного Суда Попов В. В. Российской Федерации Суд: Верховный Суд РФ (подробнее) Истцы: ООО "СЕВЖИЛЭКСПЛУАТАЦИЯ" (подробнее) Судьи дела: Попов В.В. (судья) (подробнее) Последние документы по делу: Определение от 15 февраля 2022 г. по делу № А42-11493/2018 Определение от 17 ноября 2021 г. по делу № А42-11493/2018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