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требования в размере 355 107 476 рублей 71 копейка. Определением Арбитражного суда Московской области от 02.06.2021, оставленным без изменения постановлениями Десятого арбитражного апелляционного суда от 10.08.2021 и Арбитражного суда Московского округа от 18.11.2021, требование в заявленном размере признано обоснованным,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 включении заявленного требования в третью очередь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Понижая очередность удовлетворения требования общества, суды, руководствуясь статьями 71, 100, 142, 148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утверждённым Президиумом Верховного Суда Российской Федерации 29.01.2020, исходили из того, что последнее основано на сделках, заключенных до возбуждения настоящего дела о банкротстве, но в период финансового кризиса должника, по выкупу аффилированным лицом у внешнего независимого кредитора требования к должнику, которое не было востребовано обществом в разумный срок (на протяжении двух с половиной лет), что свидетельствует о компенсационном финансировании должника и не может конкурировать с требованиями независимых кредиторов. Сам по себе тот факт, что аффилированное лицо, предоставившее компенсационное финансирование, в настоящее время находится в процедуре банкротства и утратило контроль над должником, не является основанием для отказа в субординации требования.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«ТПК Продрегионсервис» Коновалова Александра Юрьевича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