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31.07.2020 в удовлетворении первоначальных исковых требований отказано; встречные исковые требования удовлетворены частично, с компании в пользу общества взыскано 1 198 257 руб. 50 коп. убытков, 24 321 руб. расходов по уплате государственной пошлины, в удовлетворении остальной части требований отказано. Первый арбитражный апелляционный суд постановлением от 18.06.2021 изменил решение суда первой инстанции; взыскал с общества в пользу компании 1 398 899 руб., 26 781 руб. 44 коп. расходов по уплате государственной пошлины, 29 750 руб. расходов на проведение 2 экспертизы, 2490 руб. расходов по уплате государственной пошлины по апелляционной жалобе, в удовлетворении остальной части первоначального иска отказал; взыскал с компании в пользу общества 160 800 руб. убытков, 3657 руб. 45 коп. расходов по оплате государственной пошлины, в удовлетворении остальной части встречного иска отказал; произвел зачет удовлетворенных требований. Постановлением Арбитражного суда Волго-Вятского округа от 12.10.2021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Взаимные требования сторон основаны на договоре от 07.05.2018 № 3-ГП/2018 (в редакции дополнительных соглашений), в соответствии с обстоятельствами исполнения которого в результате исследования и оценки представленных в материалы дела доказательств в порядке, предусмотренном статьей 71 Арбитражного процессуального кодекса Российской Федерации, установив факт выполнения компанией работ на общую сумму 1 398 899 руб., наличия недостатков в выполненных работах, определив стоимость устранения недостатков, руководствуясь статьями 709, 720, 723, 743, 1102 Гражданского кодекса Российской Федерации, суд апелляционной инстанции пришел к выводу о частичном удовлетворении первоначального и встречного иска. Суд округа поддержал выводы апелляционного суда.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«Мовен НН»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