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Костомаров Константин Леонидович (далее – Предприниматель) обратился в Арбитражный суд города Москвы с иском к обществу с ограниченной ответственностью «ЭверестЭстейт» (далее – Общество) о взыскании 35 000 000 рублей задолженности по договору займа от 08.07.2016, 43 801 311 рублей 48 копеек процентов за пользование суммой займа за период с 08.07.2016 по 10.07.2020 и 38 150 000 рублей неустойки за период с 17.07.2017 по 10.07.2020. В свою очередь, Общество предъявило встречные требования о взыскании 6 524 350 рублей неосновательного обогащения и 1 601 194 рублей 80 копеек процентов за пользование чужими денежными средствами. Определением Арбитражного суда города Москвы от 08.09.2021, оставленным без изменения постановлением Девятого арбитражного апелляционного суда от 20.10.2021, встречный иск возвращен. Постановлением Арбитражного суда Московского округа от 03.12.2021 определение от 08.09.2021 и апелляционное постановление от 20.10.2021 отменены, вопрос о принятии встречного иска к производству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процессуального права. 2 В обоснование доводов жалобы заявитель указывает на ошибочность вывода суда округа, что предъявление встречного иска в рассматриваемом случае было направлено на зачет встречных однородных требований.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Возвращая встречный иск, суды первой и апелляционной инстанций пришли к выводу о нецелесообразности его рассмотрения совместно с первоначальными требованиями. Суд округа, приняв во внимание положения статьи 132 АПК РФ, разъяснения, изложенные в пункте 19 постановления Пленума Верховного Суда РФ от 11.06.2020 № 6 «О некоторых вопросах применения положений Гражданского кодекса Российской Федерации о прекращении обязательств»,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определение суда первой инстанции, постановление суда апелляционной инстанции и направил вопрос о принятии встречного иска на новое рассмотрение, правомерно указав, что его предъявление в рассматриваемом случае было направлено на зачет встречных однородных требований.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Костомарова Константина Леонидовича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