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12.02.2021, оставленным без изменения постановлением Девятого арбитражного апелляционного суда от 21.06.2021 и постановлением Арбитражного суда Московского округа от 12.10.2021, первоначальные исковые требования удовлетворены, в удовлетворении встречных требований отказано. В кассационной жалобе, поданной в Верховный Суд Российской Федерации, предприниматель, ссылаясь на незаконность указанных судебных 2 актов, просит их отменить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170, 309, 310, 330, 506, 516 Гражданского кодекса Российской Федерации, установив факт принятия предпринимателем товара на спорную сумму по универсально-передаточному документу без замечаний по количеству и качеству, неисполнения последним обязанности по его оплате, суды первой и апелляционной инстанций пришли к выводу о наличии оснований для удовлетворения первоначальных исковых требований. Исходя из неподтвержденности обстоятельств, необходимых для признания сделки недействительной по тем основаниям, на которые ссылался предприниматель, суды отказали в удовлетворении встречного иска.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Дюсенова Руслана Аскаровича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