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05.07.2021, оставленным без изменения постановлениями Девятого арбитражного апелляционного суда от 26.08.2021 и Арбитражного суда Московского округа от 30.11.2021, в удовлетворении заявленного требования отказано. В кассационной жалобе компания ставит вопрос об отмене принятых по делу судебных актов, ссылаясь на нарушение судами норм материального и процессуального права, неполное выяснение обстоятельств, имеющих значение для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2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камеральной налоговой проверки уточненной налоговой декларации по налогу на имущество организаций за 12 месяцев 2018 года инспекция приняла оспариваемое решение о доначислении компании недоимки по налогу на имущество организаций в размере 3 743 290 рублей (с учетом изменений, внесенных письмом инспекции). Основанием для принятия указанного решения послужил вывод инспекции о том, что налоговая база по налогу на имущество в отношении спорных объектов недвижимости неправомерно определена компанией исходя из стоимости данных объектов, которую компания определила самостоятельно расчетным путем, исключив из указанной в Едином государственном реестре недвижимости кадастровой стоимости этих объектов сумму, равную величине налога на добавленную стоимость. Отказывая в удовлетворении заявленного требования, суды, руководствуясь положениями статей 375, 378.2 Налогового кодекса Российской Федерации, статей 24.18, 24.20 Федерального закона от 29.07.1998 № 135-ФЗ «Об оценочной деятельности в Российской Федерации», пришли к выводу о законности оспоренного решения ввиду отсутствия у компании правовых оснований для самостоятельного уменьшения установленной кадастровой стоимости объектов недвижимого имущества на сумму исчисленного расчетным путем налога на добавленную стоимость.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суды признали правомерным доначисление компании налога на имущество организаций в отношении спорных объектов недвижимости, исходя из кадастровой стоимости данных объектов, установленной в соответствии с законодательством и включенной в Единый государственный реестр недвижимости. Обжалуя судебные акты в Верховный Суд Российской Федерации, компания приводит доводы, которые являлись предметом рассмотрения судов и получили надлежащую правовую оценку. Приведенные в жалобе доводы не свидетельствуют о наличии существенных нарушений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3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частной компании с ограниченной ответственностью «Гарденз Корпорейшн Б.В.»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