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Хамматова Р.Г. обратилась в суд с возражениями на результаты рассмотрения конкурсным управляющим должника её требования о включении в реестр требований кредиторов должника (далее – реестр). Определением Арбитражного суда Республики Татарстан от 01.07.2021, оставленным без изменения постановлением Одиннадцатого арбитражного апелляционного суда от 30.08.2021, возражение признано обоснованным, требование Хамматовой Р.Г. в размере 3 953 619 рублей 84 копейки включено в состав первой очереди реестра. Постановлением Арбитражного суда Поволжского округа от 28.10.2021 вышеуказанные судебные акты отменены, требование Хамматовой Р.Г. признано обоснованным и подлежащим удовлетворению как требование первой очереди, предъявленное после закрытия реестра кредиторов, но до завершения расчётов с кредиторами последующей очереди. В кассационной жалобе, поданной в Верховный Суд Российской Федерации, заявитель просит отменить указанное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округа, руководствуясь положениями статей 189.32, 189.85 и 189.96 Федерального закона от 26.10.2002 № 127-ФЗ «О несостоятельности (банкротстве)», исходил из заявления Хамматовой Р.Г. своих требований спустя значительное время не только после закрытия реестра, но и вступления в силу судебных актов суда общей юрисдикции от 01.08.2017 и от 15.08.2017, которые, по мнению заявителя, послужили основанием для предъявления спорных требований, а также признал отсутствие исключительного случая, когда лицо может претендовать на включение задолженности в реестр даже несмотря на то, что требование заявлено с опозданием.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Хамматовой Резеде Гайфулловне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