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11.06.2021, оставленным без изменения постановлениями Девятого арбитражного апелляционного суда от 16.09.2021 и Арбитражного суда Московского округа от 09.12.2021, в удовлетворении заявленного требования отказано. В кассационной жалобе компания ставит вопрос об отмене принятых по делу судебных актов, ссылаясь на нарушение судами норм материального и процессуального права, неполное выяснение обстоятельств, имеющих значение для дела,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уточненной налоговой декларации по налогу на имущество организаций за 12 месяцев 2018 года инспекция приняла оспариваемое решение о доначислении компании недоимки по налогу на имущество организаций в размере 3 493 737 рублей (с учетом изменений, внесенных письмом инспекции). Основанием для принятия указанного решения послужил вывод инспекции о том, что налоговая база по налогу на имущество в отношении спорных объектов недвижимости неправомерно определена компанией исходя из стоимости данных объектов, которую компания определила самостоятельно расчетным путем, исключив из указанной в Едином государственном реестре недвижимости кадастровой стоимости этих объектов сумму, равную величине налога на добавленную стоимость. Отказывая в удовлетворении заявленного требования, суды, руководствуясь положениями статей 375, 378.2 Налогового кодекса Российской Федерации, статей 24.18, 24.20 Федерального закона от 29.07.1998 № 135-ФЗ «Об оценочной деятельности в Российской Федерации», пришли к выводу о законности оспоренного решения ввиду отсутствия у компании правовых оснований для самостоятельного уменьшения установленной кадастровой стоимости объектов недвижимого имущества на сумму исчисленного расчетным путем налога на добавленную стоимость.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доначисление компании налога на имущество организаций в отношении спорных объектов недвижимости, исходя из кадастровой стоимости данных объектов, установленной в соответствии с законодательством и включенной в Единый государственный реестр недвижимости. Обжалуя судебные акты в Верховный Суд Российской Федерации, компания приводит доводы, которые являлись предметом рассмотрения судов и получили надлежащую правовую оценку. Приведенные в жалобе доводы не свидетельствуют о наличии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частной компании с ограниченной ответственностью «Гарденз Корпорейшн Б.В.»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