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06.12.2019 производство по делу прекращено на основании абзаца восьмого пункта 1 статьи 57 Федерального закона от 26.10.2002 № 127-ФЗ «О несостоятельности (банкротстве)» (далее – Закон). Определением Арбитражного суда Московской области от 30.08.2021, оставленным без изменения постановлением Десятого арбитражного апелляционного суда от 11.10.2021 и постановлением Арбитражного суда Московского округа от 07.12.2021, заявление о возобновлении производства по делу о банкротстве должника возвращено банку. В кассационной жалобе банк просит о пересмотре судебных актов, ссылаясь на нарушение прав кредиторов неприменением по аналогии статьи 213.29 Закона.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процедуры реструктуризации долгов и реализации имущества должника в прекращенном деле о банкротстве не вводились, поэтому правило статьи 213.29 Закона не применимо. Учитывая возможность защиты прав иным способом, оснований для кассационного пересмотра судебных актов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«ТРАСТ»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