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Васильковой Натальи Александровны в Арбитражный суд Ханты-Мансийского автономного округа – Югры обратился кредитор – Жукова Татьяна Леонидовна с заявлением, уточненным в порядке статьи 49 Арбитражного процессуального кодекса Российской Федерации, о признании недействительными сделок по отчуждению принадлежащего должнику и Василькову Андрею Григорьевичу (супругу должника) на праве общей совместной собственности движимого имущества, и применении последствий недействительности сделок в виде возврата в конкурсную массу транспортного средства. Определением Арбитражного суда Ханты-Мансийского автономного округа – Югры от 27.05.2021 признаны недействительными сделками: договор купли-продажи транспортного средства от 01.02.2016, заключенный Васильковым А.Г. и Громовой Еленой Егоровной; договор купли-продажи 2 транспортного средства от 18.03.2016, заключенный Громовой Е.Е. и Васильковым А.Г.; договор купли-продажи транспортного средства от 26.01.2018, заключенный Васильковым А.Г. и Шпраер Людмилой Викторовной; применены последствия недействительности сделок в виде обязания Шпраер Л.В. возвратить в конкурсную массу должника спорный автомобиль. Постановлением Восьмого арбитражного апелляционного суда от 26.08.2021 определение суда первой инстанции оставлено без изменения. Арбитражный суд Западно-Сибирского округа постановлением от 03.12.2021 указанные судебные акты отменил в части признания недействительными заключенных между Васильковым А.Г. и Громовой Е.Е. договоров купли-продажи транспортного средства от 01.02.2016 и от 18.03.2016 и в указанной части в удовлетворении заявления отказал. В остальной части названные судебные акты оставил без изменения. Васильков Андрей Григорьевич и Шпраер Людмила Викторовна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пунктом 2 статьи 61.2 Федерального закона от 26.10.2002 № 127-ФЗ «О несостоятельности (банкротстве)», суды пришли к выводу о наличии оснований для признания недействительным договора купли-продажи транспортного средства от 26.01.2018, заключенного супругом должника и Шпраер Л.В., ввиду доказанности совершения безвозмездной сделки с 3 заинтересованным лицом, с целью вывода ликвидного имущества и причинения вреда имущественным правам кредиторов, при наличии у должника признаков финансовой несостоятельности на дату совершения оспариваемой сделки. Доводы, изложенные в кассационных жалобах,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основаны на неверном толковании заявителями норм материального права,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Василькову Андрею Григорьевичу и Шпраер Людмиле Викторовне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