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Калужской области от 11.06.2021, оставленным без изменения постановлением Двадцатого арбитражного апелляционного суда от 17.08.2021, право Соцкова В.Н. на выезд из Российской Федерации ограничено до вынесения определения о завершении или прекращении производства по делу № А23-7710/2017 о его банкротстве. Постановлением Арбитражного суда Центрального округа от 25.10.2021 судебные акты оставлены без изменения. В кассационной жалобе Мурадян А.А. просит изменить мотивировочную часть постановления окружного суда в отношении признания преждевременными выводов нижестоящих судов о сокрытии должником доходов и уклонении от формирования конкурсной массы, ссылаясь на установление судами этих обстоятельств в присутствии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вывод о сокрытии должником доходов и уклонении от формирования конкурсной массы не соответствует исследованным основаниям заявления об ограничении передвижения, поэтому в пределах имеющихся в силу статей 286 - 288 Арбитражного процессуального кодекса Российской Федерации полномочий признал их подлежащими установлению в рамках других рассматриваемых в отношении имущества должника спорах в деле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Мурадяну Андранику Арутюновичу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