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23.03.2021, оставленным без изменения постановлением Девятого арбитражного апелляционного суда от 04.06.2021, в удовлетворении иска отказано. Арбитражный суд Московского округа постановлением от 13.10.2021 решение от 23.03.2021 и постановление апелляционного суда от 04.06.2021 оставил без изменения. В кассационной жалобе общество «Волга-Селект» просит об отмене судебных актов вследствие неустановления конкретного нарушения Руководства по эксплуатации трактора.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эксплуатационный характер дефекта трактора и правильно применили статью 476 Гражданского кодекса Российской Федерации, признав отсутствие ответственности продавца (ответчика) за заявленный недостаток. Заключением эксперта, признанным надлежащим доказательством, зафиксированы действия покупателя (истца), приведшие к образованию неисправности.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«Волга-Селект»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