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14.04.2021, оставленным без изменения постановлением Девятого арбитражного апелляционного суда от 13.07.2021 и постановлением Арбитражного суда Московского округа от 19.10.2021, иск удовлетворен. В кассационной жалобе компания просит о пересмотре судебных актов, ссылаясь на неисследование обстоятельств спора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признал наличие у ответчика обязанности в силу статьи 1102 Гражданского кодекса Российской Федерации возвратить полученную от истца сумму, установив незаключение сторонами договора, во исполнение которого она была перечислена. В судебном заседании представитель ответчика присутствовал и не представил доказательств, опровергающих требования истца. Рассмотрение апелляционным судом дела в отсутствие представителя ответчика и отказ в приобщении документов не являются процессуальными нарушениями и не влекут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