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15.02.2021, оставленным без изменения постановлением Восемнадцатого арбитражного апелляционного суда от 30.06.2021 и постановлением Арбитражного суда Уральского округа от 12.10.2021,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Как следует из судебных актов, иск общества (цессионарий), получившего право требования на основании договора уступки от 14.06.2019 (далее – договор уступки), заключенного с третьим лицом (цедент, покупатель), обоснован неправомерным удержанием компанией (продавец) перечисленной суммы предоплаты по договору купли-продажи от 27.03.2017 № ПФ.3682 (далее – договор купли-продажи).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купли-продажи, спецификации к нему, договора уступки, установив факт нарушения третьим лицом обязательств по внесению предоплаты по договору купли-продажи, суды первой и апелляционной инстанций пришли к выводу, что компания обоснованно отказалась от названного договора и начислила третьему лицу штраф. Исходя из того, что обязательство компании по возврату третьему лицу предварительной оплаты по договору купли-продажи прекратилось зачетом встречного однородного требования компании в счет начисленного третьему лицу штрафа по названному договору (письмо ответчика от 15.01.2018), руководствуясь статьями 309, 310, 328, 329, 330, 380, 382, 384, 389.1, 410, 431, 432, 450, 452, 453, 454, 469, 475, 479, 480, 486, 487, 506, 509, 523 Гражданского кодекса Российской Федерации, суды не усмотрели оснований для удовлетворения иска.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«Аттис Трейд»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