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16.04.2021, оставленным без изменения постановлением Девятого арбитражного апелляционного суда от 02.07.2021 и постановлением Арбитражного суда Московского округа от 13.10.2021,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компании (исполнитель) мотивированы ненадлежащим исполнением обществом (заказчик) обязательств по оплате оказанных услуг по договору от 20.08.2018 № 16022018М (далее – договор). Исследовав и оценив по правилам главы 7 Арбитражного процессуального кодекса Российской Федерации представленные в материалы дела доказательства, проанализировав условия договора, предусматривающего право исполнителя на односторонний отказ от исполнения договора, в том числе в случае существенного или неоднократного нарушения заказчиком сроков оплаты, установив факт оказания исполнителем спорных услуг, их принятия заказчиком в отсутствие доказательств полной оплаты и устранения последним допущенных нарушений в разумный срок, руководствуясь статьями 309, 310, 329, 330, 332, 450, 451, 453, 779, 781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«ИПИФИЯ ЛЭБС»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