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15.02.2021, оставленным без изменения постановлением Тринадцатого арбитражного апелляционного суда от 23.04.2021 и постановлением Арбитражного суда Северо-Западного округа от 13.10.2021,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отказывая в иске, суды первой и апелляционной инстанций, с которыми впоследствии согласился суд округа, руководствовались статьями 15, 393, 458, 506, 509 Гражданского кодекса Российской Федерации и исходили из недоказанности истцом наличия совокупности условий, необходимой для взыскания с ответчика убытков в заявленном размере.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