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подает кассационную жалобу на судебные акты по делу № А56-57312/2019 и в счет уплаты государственной пошлины просит зачесть сумму, уплаченную по платежному поручению от 07.10.2020 № 5347 за фактически несостоявшуюся подачу жалобы по делу № А56-2841/2019.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2 Учитывая непредставление оригиналов документов, необходимых для зачета государственной пошлины, суд не может произвести зачет. Следствием отказа в зачете государственной пошлины является нерассмотрение по существу кассационной жалобы на основании пункта 1 части 1 статьи 291.5 Арбитражного процессуального кодекса Российской Федерации, которая будучи поданной в электронном виде возвращению не подлежит. Руководствуясь статьями 104, 184, 185, 291.3,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«Российские сети» в зачете государственной пошлины при подаче кассационной жалобы на постановление Тринадцатого арбитражного апелляционного суда от 30.07.2021 и постановление Арбитражного суда Северо-Западного округа от 08.12.2021 по делу № А56-57312/2019 Арбитражного суда города Санкт-Петербурга и Ленинградской области. Кассационную жалобу не рассматривать по существу.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