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28.01.2022 (согласно отметке почтового органа на конверте) обратилась в Верховный Суд Российской Федерации с жалобой на определение судьи Верховного Суда Российской Федерации от 16.12.2021 № 304-ЭС21-23422, решение Арбитражного суда Ханты-Мансийского автономного округа – Югры от 11.03.2021, постановление Восьмого арбитражного апелляционного суда от 27.05.2021 и постановление Арбитражного суда Западно-Сибирского округа от 02.09.2021 по делу № А75-19520/2020,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не относятся к числу уважительных причин.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города Сургута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