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14.05.2021, оставленным без изменения постановлением Восьмого арбитражного апелляционного суда от 23.08.2021, заявление удовлетворено. Постановлением Арбитражного суда Западно-Сибирского округа от 20.10.2021 определение и постановление апелляционного суда отменены, в удовлетворении заявления отказано. В кассационной жалобе общество просит постановление суда округа от 20.10.2021 отменить, ссылаясь на незаконное указание на несение расходов не в связи с материально-правовым спором. Оснований для пересмотра судебных актов, предусмотренных частью 1 статьи 291.1 Арбитражного процессуального кодекса Российской Федерации, в связи с доводами жалобы не усматривается. Окружной суд установил, что выводы нижестоящих судов не соответствуют исследованным обстоятельствам несения судебных расходов, указывающим на подачу финансовым управляющим заявления во исполнение обязанностей и удовлетворение требования управляющего обществом в процессе рассмотрения спора, поэтому не признал общество имеющим право на возмещение расходов в связи с участием в споре в соответствии со 2 статьями 101, 106 и 110 Арбитражного процессуального кодекса Российской Федерации и в пределах предоставленных статьями 286 - 287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«Амари»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