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20.04.2021, оставленным без изменения постановлением Семнадцатого арбитражного апелляционного суда от 19.07.2021 и постановлением Арбитражного суда Уральского округа от 28.10.2021, иск удовлетворен. В кассационной жалобе товарищество просит об отмене судебных актов, ссылаясь на неосновательное взыскание стоимости не оказанных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и оценки доказательств исполнения договоров признали доказанным оказание обществом услуг на заявленную сумму и неоплату их товариществом, поэтому удовлетворили иск в соответствии со статьями 330, 779, 781,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«Хабаровская, 56»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