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22.09.2021, оставленным без изменения постановлением Четырнадцатого арбитражного апелляционного суда от 25.11.2021, процедура реализации имущества должника продлена на три месяца с 22.07.2021. В кассационной жалобе Косарева С.Н. просит об отмене судебных актов, ссылаясь на отсутствие законного основания для продления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признали, что в силу пункта 2 статьи 213.24 Федерального закона от 26.10.2002 № 127-ФЗ «О несостоятельности (банкротстве)» продление срока реализации имущества должника обусловлено конкретными обстоятельствами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Косаревой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