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15.03.2021 в удовлетворении заявления отказано. Постановлением Тринадцатого арбитражного апелляционного суда от 08.06.2021, оставленным без изменения и постановлением Арбитражного суда Северо-Западного округа от 11.10.2021, определение от 15.03.2021 отменено, заявление удовлетворено. В кассационной жалобе Бреднев В.А. просит об отмене судебных актов апелляционного и окружного судов вследствие недоказанности наличия между сторонами заемных отношений и пропуска кредитором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реальное предоставление денежных средств в спорной сумме, указывающее в силу статей 807, 808 Гражданского кодекса Российской Федерации на наличие заемных правоотношений, и признал требование отвечающим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в реестр должника, признав в отсутствие согласованного срока возврата денежных средств не пропущенным срок исковой давности для подачи рассматриваемого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Бредневу Вячеславу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