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Новгородской области от 24.12.2018, оставленным без изменения постановлением Четырнадцатого арбитражного апелляционного суда от 01.07.2021 и постановлением Арбитражного суда Северо-Западного округа от 18.10.2021, иск удовлетворен. В кассационной жалобе общество «Адванта» просит об отмене судебных актов, ссылаясь на неисследование обстоятельств исполнения договоров и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представленные доказательства, суды установили реальное исполнение обязательств, порождающее в силу примененных статей 309, 310, 486, 506, 516, 779, 781 Гражданского кодекса Российской Федерации обязанность ответчика по оплате товара и услуги по его перевозке и исключающее мнимость договоров. Процессуальные права заявителя реализованы посредством обжалования решения на основании пункта 24 постановления Пленума Высшего Арбитражного Суда Российской Федерации от 22.06.2012 № 35 «О некоторых вопросах, связанных с рассмотрением дел о банкротстве» в суд апелляционной инстанции, повторно исследовавший в связи с доводами заявителя обстоятельства исполнения договоров и не установивший оснований для отмены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«Адванта»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