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27.04.2021, оставленным без изменения постановлением Девятого арбитражного апелляционного суда от 02.07.2021 и постановлением Арбитражного суда Московского округа от 19.10.2021, в удовлетворении иска отказано. В кассационной жалобе, поданной в Верховный Суд Российской Федерации, предприниматель, ссылаясь на нарушение судами норм права, просит отменить указанные судебные акты и принять по делу новый судебный акт об удовлетворении иска либо направить дело на новое рассмотрение в соответствующий арбитражный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Разрешая спор и отказывая в иске, суды первой и апелляционной инстанций руководствовались статьями 15 , 382 , 1064 , 1068 Гражданского кодекса Российской Федерации и, исследовав и оценив представленные в материалы дела доказательства по правилам статьи 71 Арбитражного процессуального кодекса Российской Федерации, пришли к выводу о недоказанности истцом наличия совокупности условий, необходимой для взыскания с ответчика убытков. Суд округа поддержал выводы судов первой и апелляционной инстанций. Приведенные в кассационной жалобе доводы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Министерство обороны Российской Федерации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