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13.07.2021, оставленным без изменения постановлением Двенадцатого арбитражного апелляционного суда от 16.09.2021, требования банка в размере 25 586 965 рублей 22 копеек как обеспеченные залогом имущества должника исключены из третьей очереди реестра требований кредиторов. Арбитражный суд Поволжского округа постановлением от 30.11.2021 определение от 13.07.2021 и постановление Двенадцатого арбитражного апелляционного суда от 16.09.2021 оставил без изменения. В кассационной жалобе банк просит об отмене судебных актов, ссылаясь на непрекращение поручительства в отношении 150 000 рублей неустойки и неосновательное исключение ее из реестра, ненадлежащий способ защиты.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150 000 рублей неустойки являются составляющей включенного в реестр требования банка, и полное погашение этого требования в деле о банкротстве должника. Суды определили рассматриваемое заявление в качестве разногласий в порядке пункта 1 статьи 60 Федерального закона от 26.10.2002 № 127-ФЗ «О несостоятельности (банкротстве)» в связи с несогласием банка с исключением его требования из реестра Зоркова А.М. (поручителя) финансовым управляющим самостоятельно.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«Коммерческий банк «Восточный»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