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Воронежской области от 05.04.2021, оставленным без изменения постановлением Девятнадцатого арбитражного апелляционного суда от 05.07.2021 и постановлением Арбитражного суда Центрального округа от 13.10.2021, иск удовлетворен. В кассационной жалобе общество «Вудсервис-1» просит об отмене судебных актов, ссылаясь на лишение возможности заявить об уменьшении неустойки вследствие непредоставления доступа к электронному ознакомлению с материалами дела.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2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Вопрос об электронном ознакомлении с материалами дела не состоит в причинно-следственной связи с нереализацией права на подачу заявления об уменьшении неустойки, поэтому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«Вудсервис-1»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