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20.04.2021, оставленным без изменения постановлением Одиннадцатого арбитражного апелляционного суда от 05.07.2021, первоначальный иск удовлетворен в части взыскания 2 334 2211 рублей 03 копеек неосновательного обогащения, встречный – 1 244 463рублей 41 копейки неосновательного обогащения и 2 546 рублей 81 копейки расходов на экспертизу; в результате зачета взысканных сумм с общества в пользу компании взыскано 1 095 382 рубля 66 копеек. 2 Арбитражный суд Поволжского округа постановлением от 15.10.2021 решение от 20.04.2021 и постановление Одиннадцатого арбитражного апелляционного суда от 05.07.2021 оставил без изменения. В кассационной жалобе общество просит об отмене судебных актов вследствие немотивированного отклонения его расчета, лишения права на возврат или получение стоимости дополнительно установленного оборудования, нерассмотрения ходатайства об исключении из числа доказательств отчетов об оценке.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связанные с расчетом взысканных сумм и судьбой отчетов об оценке как доказательств, не создают оснований для кассационного пересмотра судебных актов. Вопрос о дополнительном оборудовании разрешен в соответствии с условиями договоров лизинга.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«СпиртСпецТех»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