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23.04.2021 прекращено производство по заявлению в части признания недействительным договора купли-продажи от 18.01.2019 в связи с отказом от него финансового управляющего; договор купли-продажи доли в праве собственности на земельный участок и доли в праве собственности на нежилое строение от 24.05.2018 признан недействительным и с применением последствий его недействительности. Девятый арбитражный апелляционный суд постановлением от 24.06.2021 определение от 23.04.2021 оставил без изменения. Арбитражный суд Московского округа постановлением от 27.10.2021 определение от 23.04.2021 и постановление апелляционного суда от 24.06.2021 оставил без изменения. В кассационной жалобе Сабанцев Д.В. просит об отмене судебных актов, ссылаясь на противоречие оценки обстоятельств совершения сделки ранее 2 установленным общим и арбитражным судами обстоятельствам в отношении этой сделки и платежеспособности должника во временной период ее совершения.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пределах данного спора в отличие от ранее рассмотренных указываемых заинтересованным лицом споров суды оценивали обстоятельства совершения оспариваемой сделки и действия ее участников, в том числе должника, на соответствие требованиям законодательства о банкротстве, поэтому довод о нарушении правил статей 16, 69 Арбитражного процессуального кодекса Российской Федерации неоснователен.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Сабанцеву Д.В.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