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23.04.2021, оставленным без изменения постановлением Седьмого арбитражного апелляционного суда от 13.07.2021, в удовлетворении первоначального иска отказано. Встречный иск удовлетворен частично, с предпринимателя в пользу общества взыскано 747 924 руб. 13 коп. неосновательного обогащения, в удовлетворении остальной части требований отказано. Постановлением Арбитражного суда Западно-Сибирского округа от 19.11.2021 решение суда первой инстанции и постановление суда апелляционной инстанции отменены, дело направлено на новое рассмотрение в Арбитражный суд Алтайского края. 2 В кассационной жалобе, поданной в Верховный Суд Российской Федерации, общество просит отменить постановление суда округа, ссылаясь на его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«Спецпром»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