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29.03.2021, оставленным без изменения постановлением Седьмого арбитражного апелляционного суда от 20.07.2021 и постановлением Арбитражного суда Западно-Сибирского округа от 12.10.2021, с общества в пользу предпринимателя взыскано 45 000 руб. долга, 4500 руб. неустойки, 355 936 руб. 98 коп. убытков, 10 767 руб. 03 коп. расходов по уплате государственной пошлины по иску, 5759 руб. 19 коп. судебных издержек по оплате юридических услуг, в удовлетворении остальной части исковых требований отказано. В кассационной жалобе, поданной в Верховный Суд Российской Федерации, общество просит отменить указанные судебные акты в части взыскания с него 355 936 руб. 98 коп. убытков, 10 767 руб. 03 коп. расходов 2 по уплате государственной пошлины по иску и 5759 руб. 19 коп. судебных издержек по оплате юридических услуг, полагая их незаконными.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в обжалуемой части,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393, 606, 616, 622 Гражданского кодекса Российской Федерации, разъяснениями, приведенными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исходили из доказанности предпринимателем совокупности условий, необходимой для взыскания с общества убытков. Суд округа поддержал выводы судов первой и апелляционной инстанций. Приведенные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«ПродТорг»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