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09.04.2018 Лазутова Ольга Александровна признана несостоятельной (банкротом), в отношении нее введена процедура реализации имущества гражданина, финансовым управляющим должника утверждена Таштаналиева Гульзина Кокековна. Должник обратилась в суд с заявлением, уточненным в порядке статьи 49 Арбитражного процессуального кодекса Российской Федерации, об исключении из конкурсной массы должника 100% доли в уставном капитале ООО «Логал-Консалтинг», 1/16 доли Экономова Константина Васильевича и 1/16 доли Лазутова Дениса Игоревича в жилом помещении по адресу: г. Самара, переулок Ново-Молодежный, д. 28, кв. 4. Определением Арбитражного суда Самарской области от 26.11.2019 заявление должника в части исключения из конкурсной массы 1/16 доли Экономова К.В. и 1/16 доли Лазутова Д.И. в жилом помещении по адресу: г. Самара, переулок Ново-Молодежный, д. 28, кв. 4, выделено в отдельное производство. 2 К участию в рассмотрении обособленного спора в качестве третьего лица, не заявляющего самостоятельных требований относительно предмета спора, привлечен залоговый кредитор - акционерное общество «ДОМ.РФ». Определением Арбитражного суда Самарской области от 14.05.2021 в удовлетворении заявления отказано. Постановлением Одиннадцатого арбитражного апелляционного суда от 13.09.2021 определение суда первой инстанции оставлено без изменения. Арбитражный суд Поволжского округа постановлением от 09.12.2021 указанные судебные акты оставил без изменения. Лазутова Ольга Александровна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 первой инстанции руководствовался статьей 213.25 Федерального закона от 26.10.2002 № 127-ФЗ «О несостоятельности (банкротстве)», статьей 446 Гражданского процессуального кодекса Российской Федерации, статьями 7, 38 Федерального закона от 16.07.1998 № 102-ФЗ «Об ипотеке (залоге недвижимости)». Апелляционный суд, с которым согласился суд округа, не усмотрел оснований для отмены определения суда первой инстанции, указав на фактическое отсутствие спорного имущества в конкурсной массе должника на момент рассмотрения заявления по существу. Доводы, изложенные в кассационной жалобе, не подтверждают существенных нарушений норм материального и процессуального права, повлиявших на исход дела, и не являются достаточными основаниями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Лазутовой Ольге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