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«Бизнес Путь Групп» обратилось в Арбитражный суд города Москвы с иском о взыскании с общества с ограниченной ответственностью «КАРИ» 955 143 рублей 75 копеек пени по договору от 30.11.2017 № 3011/ПГ, а также 50 000 рублей в возмещение расходов на оплату услуг представителя. Решением Арбитражного суда города Москвы от 04.06.2021 иск удовлетворен в части взыскания 750 000 рублей неустойки и 50 000 рублей судебных издержек, в удовлетворении иска в остальной части отказано. Постановлением Девятого арбитражного апелляционного суда от 18.08.2021 решение суда первой инстанции оставлено без изменения. Арбитражный суд Московского округа постановлением от 25.11.2021 судебные акты отменил; иск удовлетворил в части взыскания 228 918 рублей 36 копеек неустойки и 11 980 рублей в возмещение расходов на оплату услуг представителя; в удовлетворении иска в остальной части отказал. Общество с ограниченной ответственностью «Бизнес Путь Групп» обратилось в Судебную коллегию Верховного Суда Российской Федерации с 2 кассационной жалобой на постановление суда округа,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307, 309, 310, 785, 790 Гражданского кодекса Российской Федерации, с учетом установленного судом периода просрочки оплаты оказанных ответчику услуг, суды пришли выводу об обоснованности иска, применив положения статьи 333 Гражданского кодекса Российской Федерации. Отменяя судебные акты судов нижестоящих инстанций, суд округа руководствовался статьями 9.1, 63 Федерального закона от 26.10.2002 № 127-ФЗ «О несостоятельности (банкротстве)», постановлением Правительства Российской Федерации от 03.04.2020 № 428 «О введении моратория на возбуждение дел о банкротстве по заявлению кредиторов в отношении отдельных должников», разъяснениями, изложенными в постановлении Пленума Верховного Суда Российской Федерации от 24.12.2020 № 44 «О некоторых вопросах применения положений статьи 9.1 Федерального закона от 26 октября 2002 года № 127-ФЗ «О несостоятельности (банкротстве)», и исходил из наличия оснований для применения моратория на взыскание неустойки за период с 06.04.2020 по 08.01.2021. При этом судами не установлено и истец не доказал, что ответчик не пострадал от обстоятельств, послуживших основанием для введения моратория, и что ссылки ответчика на указанные обстоятельства являются проявлением заведомо недобросовестного поведения.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3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«Бизнес Путь Групп»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