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Кравцов Максим Владимирович обратился в Арбитражный суд Свердловской области с иском о взыскании с общества с ограниченной ответственностью «ЭнергоАльянс» 7 127 848 рублей 68 копеек задолженности и 165 816 рублей 81 копейки штрафных санкций. Решением Арбитражного суда Свердловской области от 01.06.2021 иск удовлетворен в части взыскания 6 789 707 рублей задолженности, 158 330 рублей 18 копеек неустойки, 3 916 рублей 51 копейки процентов за пользование чужими денежными средствами; в удовлетворении иска в остальной части отказано. Постановлением Семнадцатого арбитражного апелляционного суда от 02.09.2021 решение суда первой инстанции оставлено без изменения. Арбитражный суд Уральского округа постановлением от 08.12.2021 указанные судебные акты оставил без изменения. Общество с ограниченной ответственностью «ЭнергоАльянс» обратилось в Судебную коллегию Верховного Суда Российской Федерации с кассационной 2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65, 71 Арбитражного процессуального кодекса Российской Федерации, признав доказанным факт оказания истцом автотранспортных услуг, выполнения работ по ремонту и сервисному обслуживанию транспортных средств ответчика и отсутствие доказательств их своевременной оплаты, руководствуясь положениями статей 309, 310, 330, 395, 486, 506, 785, 779, 780, 782, 790 Гражданского кодекса Российской Федерации, суды пришли к выводу о наличии оснований для удовлетворения заявленных требований.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«ЭнергоАльянс»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