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23.04.2021, оставленным без изменения постановлением Девятого арбитражного апелляционного суда от 03.08.2021 и постановлением Арбитражного суда Московского округа от 18.10.2021, процедура реализации имущества должника завершена, должник освобожден от дальнейшего исполнения требований кредиторов. В кассационной жалобе компания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компанией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РБ ЛЕНДИНГ СЕРВИСЕЗ ЛИМИТЕД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