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18.05.2021 заявление удовлетворено. Десятый арбитражный апелляционный суд постановлением от 15.07.2021 определение от 18.05.2021 отменил и в удовлетворении заявления отказал. Арбитражный суд Московского округа постановлением от 07.10.2021 постановление апелляционного суда от 15.07.2021 оставил без изменения. В кассационной жалобе Крылов В.А. просит об отмене судебных актов апелляционного и окружного судов, ссылаясь на неправильную оценку обстоятельств совершения сделок.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суд, повторно рассмотревший заявление, установил финансовую возможность кредитора предоставить должнику денежные средства в заявленных суммах, указывающую наряду с другими доказательствами на реальный характер сделок и исключающую признание их мнимыми (статья 170 Гражданского кодекса Российской Федерации), как требовал управляющий. Требуемый в жалобе пересмотр выводов судов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Крылову В.А.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