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от 26.11.2019 и дополнительным решением от 10.03.2021 Арбитражного суда Брянской области, оставленными без изменения постановлениями Двадцатого арбитражного апелляционного суда от 09.06.2021, в удовлетворении заявления отказано. Арбитражный суд Центрального округа постановлением от 07.10.2021 решение от 26.11.2019, дополнительное решение от 10.03.2021 Арбитражного суда Брянской области и постановления Двадцатого арбитражного апелляционного суда от 09.06.2021 оставил без изменения. 2 В кассационной жалобе компания просит об отмене судебных актов, ссылаясь на игнорирование обязательности решений суда общей юрисдикции о признании приказов об установлении тарифа недействующими и права на самостоятельный выбор способа защиты.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компании о нарушении статей 16, 69 Арбитражного процессуального кодекса Российской Федерации неоснователен, учитывая последствия, наступающие при признании приказов об установлении тарифа недействующими, на которые правомерно указали суды и реализацию которых компанией в самостоятельном порядке установили, отказывая в удовлетворении заявленных требований.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